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26"/>
          <w:szCs w:val="26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5 consejos para ser un aliado LGBTQ+ en las apps de citas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Santiago de Chile. Junio del 2024. 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Aunque deberíamos estar celebrando el amor en todas sus formas durante todo el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año, jun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io ya se ha establecido como el Mes del Orgullo, momento en el que presumimos de forma especial la bandera multicolor y conmemoramos a la comunidad LGBTQ+, reconociendo sus logros y derechos.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Uniéndose a esta gran celebración e incentivando la búsqueda de conexiones significativas, Bumble, la aplicación de citas en línea, comparte algunos consejos para demostrar tu apoyo a la comunidad LGBTQ+ a través de tu perfil y de forma representativa y sencilla: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oppins" w:cs="Poppins" w:eastAsia="Poppins" w:hAnsi="Poppins"/>
          <w:b w:val="1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20"/>
          <w:szCs w:val="20"/>
          <w:rtl w:val="0"/>
        </w:rPr>
        <w:t xml:space="preserve">Añade etiquetas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Una manera simple de mostrar tu apoyo a las comunidades LGBTQ+ es añadiendo etiquetas que muestren a tus posibles conexiones (matches) cuáles son tus ideologías, gustos e intereses. ¿Cómo? Dentro de la app de Bumble podrás agregarlas en “Mis causas y comunidades” y podrás reflejar tu apoyo a los derechos LGBTQ+ y a los derechos trans, así como otras que muestren tu gusto por celebraciones del Orgullo, espectáculos de drag y la vida nocturna LGBTQ+ ¡Seguro otros se  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inspiraran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para hacer lo mismo! </w:t>
        <w:br w:type="textWrapping"/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oppins" w:cs="Poppins" w:eastAsia="Poppins" w:hAnsi="Poppins"/>
          <w:b w:val="1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20"/>
          <w:szCs w:val="20"/>
          <w:rtl w:val="0"/>
        </w:rPr>
        <w:t xml:space="preserve">Agrega tus pronombres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Independientemente de si eres cisgénero, transgénero o de otra identidad de género, incluir los pronombres en tu perfil ayuda a normalizar la idea de que el género no siempre es obvio o visible. Esto ayudará a que otros sepan cómo dirigirse a ti, pero también dejará súper claro que te importa y respetas los pronombres que cada persona decida usar.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oppins" w:cs="Poppins" w:eastAsia="Poppins" w:hAnsi="Poppins"/>
          <w:b w:val="1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20"/>
          <w:szCs w:val="20"/>
          <w:rtl w:val="0"/>
        </w:rPr>
        <w:t xml:space="preserve">Comunica tus valores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Si ya agregaste las etiquetas de tu preferencia y tus pronombres a tu perfil, pero quieres decir algo más sobre tu identidad o mostrar más apoyo a la comunidad LGBTQ+, tu Biografía, los </w:t>
      </w:r>
      <w:r w:rsidDel="00000000" w:rsidR="00000000" w:rsidRPr="00000000">
        <w:rPr>
          <w:rFonts w:ascii="Poppins" w:cs="Poppins" w:eastAsia="Poppins" w:hAnsi="Poppins"/>
          <w:i w:val="1"/>
          <w:color w:val="222222"/>
          <w:sz w:val="20"/>
          <w:szCs w:val="20"/>
          <w:rtl w:val="0"/>
        </w:rPr>
        <w:t xml:space="preserve">Opening Moves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e incluso tus fotos son una excelente manera de hacerlo. Tal vez sea una foto tuya en el desfile del Orgullo de tu ciudad o tu celebridad LGBTQ+ favorita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Sea lo que sea, siéntete orgulloso de tu autenticidad y demuestra cómo respetas o te alineas con las comunidades LGBTQ+.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oppins" w:cs="Poppins" w:eastAsia="Poppins" w:hAnsi="Poppins"/>
          <w:b w:val="1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20"/>
          <w:szCs w:val="20"/>
          <w:rtl w:val="0"/>
        </w:rPr>
        <w:t xml:space="preserve">Desliza con una mente abierta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Las personas son mucho más complejas e interesantes que solo su apariencia, identidad sexual o identidad de género ¡Nunca sabes lo que podrías tener en común con una posible conexión hasta que llegues a conocerla! Por eso, trata de mantener una mente abierta cuando 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entres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a una app de citas. Si decides que alguien no es un match, nunca es aceptable enviar comentarios irrespetuosos u odiosos, simplemente desliza hacia la izquierda y sigue adelante.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oppins" w:cs="Poppins" w:eastAsia="Poppins" w:hAnsi="Poppins"/>
          <w:b w:val="1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22222"/>
          <w:sz w:val="20"/>
          <w:szCs w:val="20"/>
          <w:rtl w:val="0"/>
        </w:rPr>
        <w:t xml:space="preserve">Si alguien usa su perfil para difundir odio, pon una alerta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Bumble tienen tolerancia cero hacia la homofobia, transfobia, 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acoso</w:t>
      </w: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 y todo tipo de discursos y comportamientos de odio dentro de la app. Si ves algún contenido de este tipo en el perfil de un posible match, o si recibes mensajes de este tipo dentro o fuera de la aplicación, utiliza la función de Bloquear y Reportar. Esto ayudará a levantar una alerta para mantener una comunidad segura y libre de odio de todo tipo.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22222"/>
          <w:sz w:val="20"/>
          <w:szCs w:val="20"/>
          <w:rtl w:val="0"/>
        </w:rPr>
        <w:t xml:space="preserve">Recuerda que amor es amor y es muy importante crear y fomentar comunidades de personas respetuosas que entiendan y apoyen a personas de todos los géneros e identidades. Algunos de estos consejos pueden no parecer muy significativos, pero la empatía y el apoyo van mucho más lejos de lo que podemos imaginar.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spacing w:after="160" w:line="240" w:lineRule="auto"/>
        <w:jc w:val="both"/>
        <w:rPr>
          <w:color w:val="2222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Acerca de Bumble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ind w:left="0" w:firstLine="0"/>
        <w:jc w:val="both"/>
        <w:rPr>
          <w:rFonts w:ascii="Poppins" w:cs="Poppins" w:eastAsia="Poppins" w:hAnsi="Poppins"/>
          <w:b w:val="1"/>
          <w:sz w:val="16"/>
          <w:szCs w:val="16"/>
        </w:rPr>
      </w:pP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16"/>
            <w:szCs w:val="16"/>
            <w:u w:val="single"/>
            <w:rtl w:val="0"/>
          </w:rPr>
          <w:t xml:space="preserve">Bumble</w:t>
        </w:r>
      </w:hyperlink>
      <w:r w:rsidDel="00000000" w:rsidR="00000000" w:rsidRPr="00000000">
        <w:rPr>
          <w:rFonts w:ascii="Poppins" w:cs="Poppins" w:eastAsia="Poppins" w:hAnsi="Poppins"/>
          <w:color w:val="0d0d0d"/>
          <w:sz w:val="16"/>
          <w:szCs w:val="16"/>
          <w:rtl w:val="0"/>
        </w:rPr>
        <w:t xml:space="preserve">, la aplicación de citas y red social en la que las mujeres van primero, fue fundada por Whitney Wolfe Herd en 2014. La aplicación conecta a personas que buscan relaciones de pareja (Bumble Date), amistad (Bumble BFF) y contactos profesionales (Bumble Bizz). Sea cual sea el tipo de relación, en Bumble las mujeres son quienes dan el primer paso y se basa en la importancia de las relaciones igualitarias y su valor para una vida sana y feliz. Su plataforma ha sido concebida en torno a la amabilidad, el respeto y la igualdad. Bumble responsabiliza a sus usuarios de sus acciones y tiene una política de cero tolerancia hacia discursos de odio, agresión y acoso. Bumble es gratis y está disponible en todo el mundo tanto en APP Store como en Google Play.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oppins" w:cs="Poppins" w:eastAsia="Poppins" w:hAnsi="Poppins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oppins" w:cs="Poppins" w:eastAsia="Poppins" w:hAnsi="Poppins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oppins" w:cs="Poppins" w:eastAsia="Poppins" w:hAnsi="Poppins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oppins" w:cs="Poppins" w:eastAsia="Poppins" w:hAnsi="Poppins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360" w:lineRule="auto"/>
      <w:jc w:val="center"/>
      <w:rPr/>
    </w:pPr>
    <w:r w:rsidDel="00000000" w:rsidR="00000000" w:rsidRPr="00000000">
      <w:rPr>
        <w:rFonts w:ascii="Poppins" w:cs="Poppins" w:eastAsia="Poppins" w:hAnsi="Poppins"/>
        <w:sz w:val="20"/>
        <w:szCs w:val="20"/>
      </w:rPr>
      <w:drawing>
        <wp:inline distB="19050" distT="19050" distL="19050" distR="19050">
          <wp:extent cx="1452563" cy="25457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563" cy="2545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yperlink" Target="https://bumble.onelink.me/3396940749?pid=press&amp;c=press-releas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semcztoKhjEj9WW7S+b/XIQLA==">CgMxLjA4AGonChRzdWdnZXN0LmpzemhoNmpzOXc4dRIPTWFyY2VsYSBNaWxsw6FuaicKFHN1Z2dlc3QuZXlhOXVlY2ZjNHRmEg9NYXJjZWxhIE1pbGzDoW5qJwoUc3VnZ2VzdC54enA1ejhhZzZqZDASD01hcmNlbGEgTWlsbMOhbmonChRzdWdnZXN0Lm81MGtwejZ3ZTJ0ZhIPTWFyY2VsYSBNaWxsw6FuaicKFHN1Z2dlc3Quc2djMGN3cmhrYWJ3Eg9NYXJjZWxhIE1pbGzDoW5qJwoUc3VnZ2VzdC5samgwdm5xczUyZ2USD01hcmNlbGEgTWlsbMOhbmonChRzdWdnZXN0Lnk5NjZ3cGV3OTdlbBIPTWFyY2VsYSBNaWxsw6FuaiUKEnN1Z2dlc3QuNGZ0bXplZDRwaRIPTWFyY2VsYSBNaWxsw6FuciExbjVaR1Z1MHlmTmhvUUhDdzY3ZWZVak00dHFtUUhlWD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E5A2C8430A94A8A72AFCAE77B6F00" ma:contentTypeVersion="15" ma:contentTypeDescription="Crear nuevo documento." ma:contentTypeScope="" ma:versionID="9b80bb1a42888ccc10ffd19e4123ac5b">
  <xsd:schema xmlns:xsd="http://www.w3.org/2001/XMLSchema" xmlns:xs="http://www.w3.org/2001/XMLSchema" xmlns:p="http://schemas.microsoft.com/office/2006/metadata/properties" xmlns:ns2="fd59189d-aa17-43cf-af40-1498bc677582" xmlns:ns3="d8571482-326c-4344-b6a9-5d116fc90231" targetNamespace="http://schemas.microsoft.com/office/2006/metadata/properties" ma:root="true" ma:fieldsID="4b26ea3750f7a28cba06bfd8ba476998" ns2:_="" ns3:_="">
    <xsd:import namespace="fd59189d-aa17-43cf-af40-1498bc677582"/>
    <xsd:import namespace="d8571482-326c-4344-b6a9-5d116fc90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189d-aa17-43cf-af40-1498bc67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1482-326c-4344-b6a9-5d116fc902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7cf98-e85f-4a6a-9fc4-cc88f185df03}" ma:internalName="TaxCatchAll" ma:showField="CatchAllData" ma:web="d8571482-326c-4344-b6a9-5d116fc90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71482-326c-4344-b6a9-5d116fc90231" xsi:nil="true"/>
    <lcf76f155ced4ddcb4097134ff3c332f xmlns="fd59189d-aa17-43cf-af40-1498bc6775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10067F0-32D3-4E23-906E-B64E4FDC3DBD}"/>
</file>

<file path=customXML/itemProps3.xml><?xml version="1.0" encoding="utf-8"?>
<ds:datastoreItem xmlns:ds="http://schemas.openxmlformats.org/officeDocument/2006/customXml" ds:itemID="{3EA5467B-49AD-4C6F-A4C7-A98CF298A911}"/>
</file>

<file path=customXML/itemProps4.xml><?xml version="1.0" encoding="utf-8"?>
<ds:datastoreItem xmlns:ds="http://schemas.openxmlformats.org/officeDocument/2006/customXml" ds:itemID="{C74200E6-C1B9-495E-8FBD-48B53BC5D41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0x010100F50E5A2C8430A94A8A72AFCAE77B6F00</vt:lpwstr>
  </property>
</Properties>
</file>